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CF" w:rsidRPr="006E0966" w:rsidRDefault="00722B67" w:rsidP="006E0966">
      <w:pPr>
        <w:pStyle w:val="Title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l6vkr4i3g6iy" w:colFirst="0" w:colLast="0"/>
      <w:bookmarkEnd w:id="0"/>
      <w:r w:rsidRPr="006E0966">
        <w:rPr>
          <w:rFonts w:ascii="Times New Roman" w:hAnsi="Times New Roman" w:cs="Times New Roman"/>
          <w:b/>
          <w:sz w:val="32"/>
          <w:szCs w:val="24"/>
        </w:rPr>
        <w:t>Arengukava näidis</w:t>
      </w:r>
    </w:p>
    <w:p w:rsidR="006E0966" w:rsidRPr="006E0966" w:rsidRDefault="006E0966" w:rsidP="006E0966">
      <w:pPr>
        <w:rPr>
          <w:rFonts w:ascii="Times New Roman" w:hAnsi="Times New Roman" w:cs="Times New Roman"/>
        </w:rPr>
      </w:pPr>
    </w:p>
    <w:p w:rsidR="006E0966" w:rsidRPr="006E0966" w:rsidRDefault="006E0966" w:rsidP="006E0966">
      <w:pPr>
        <w:rPr>
          <w:rFonts w:ascii="Times New Roman" w:hAnsi="Times New Roman" w:cs="Times New Roman"/>
        </w:rPr>
      </w:pPr>
    </w:p>
    <w:p w:rsidR="00C747CF" w:rsidRPr="006E0966" w:rsidRDefault="00722B67" w:rsidP="006E0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hAnsi="Times New Roman" w:cs="Times New Roman"/>
          <w:sz w:val="24"/>
          <w:szCs w:val="24"/>
        </w:rPr>
        <w:t>Organisatsiooni arengukava struktuuris ei ole kohustuslikku sisu ja järjekorda: tulenevalt vajadusest võib mittetulundusühendus peatükke lisada või ära jätta.</w:t>
      </w:r>
    </w:p>
    <w:p w:rsidR="00C747CF" w:rsidRPr="006E0966" w:rsidRDefault="00C747CF" w:rsidP="006E0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7CF" w:rsidRPr="006E0966" w:rsidRDefault="00722B67" w:rsidP="006E0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hAnsi="Times New Roman" w:cs="Times New Roman"/>
          <w:sz w:val="24"/>
          <w:szCs w:val="24"/>
        </w:rPr>
        <w:t>Organisatsiooni arengukava struktuur (näidis):</w:t>
      </w:r>
    </w:p>
    <w:p w:rsidR="00C747CF" w:rsidRPr="006E0966" w:rsidRDefault="00722B67" w:rsidP="006E0966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hAnsi="Times New Roman" w:cs="Times New Roman"/>
          <w:sz w:val="24"/>
          <w:szCs w:val="24"/>
        </w:rPr>
        <w:t>Sissejuhatus</w:t>
      </w:r>
      <w:bookmarkStart w:id="1" w:name="_GoBack"/>
      <w:bookmarkEnd w:id="1"/>
    </w:p>
    <w:p w:rsidR="00C747CF" w:rsidRPr="006E0966" w:rsidRDefault="00722B67" w:rsidP="006E0966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hAnsi="Times New Roman" w:cs="Times New Roman"/>
          <w:sz w:val="24"/>
          <w:szCs w:val="24"/>
        </w:rPr>
        <w:t>Põhiväärtused</w:t>
      </w:r>
    </w:p>
    <w:p w:rsidR="00C747CF" w:rsidRPr="006E0966" w:rsidRDefault="00722B67" w:rsidP="006E0966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hAnsi="Times New Roman" w:cs="Times New Roman"/>
          <w:sz w:val="24"/>
          <w:szCs w:val="24"/>
        </w:rPr>
        <w:t>Visioon</w:t>
      </w:r>
    </w:p>
    <w:p w:rsidR="00C747CF" w:rsidRPr="006E0966" w:rsidRDefault="00722B67" w:rsidP="006E0966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hAnsi="Times New Roman" w:cs="Times New Roman"/>
          <w:sz w:val="24"/>
          <w:szCs w:val="24"/>
        </w:rPr>
        <w:t>Missioon</w:t>
      </w:r>
    </w:p>
    <w:p w:rsidR="00C747CF" w:rsidRPr="006E0966" w:rsidRDefault="00722B67" w:rsidP="006E0966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hAnsi="Times New Roman" w:cs="Times New Roman"/>
          <w:sz w:val="24"/>
          <w:szCs w:val="24"/>
        </w:rPr>
        <w:t>Eesmärgid ehk taotletavad tulemused ajahorisondiga N aastaks</w:t>
      </w:r>
    </w:p>
    <w:p w:rsidR="00C747CF" w:rsidRPr="006E0966" w:rsidRDefault="00722B67" w:rsidP="006E0966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hAnsi="Times New Roman" w:cs="Times New Roman"/>
          <w:sz w:val="24"/>
          <w:szCs w:val="24"/>
        </w:rPr>
        <w:t>Kriitilised edutegurid</w:t>
      </w:r>
    </w:p>
    <w:p w:rsidR="00C747CF" w:rsidRPr="006E0966" w:rsidRDefault="00722B67" w:rsidP="006E0966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hAnsi="Times New Roman" w:cs="Times New Roman"/>
          <w:sz w:val="24"/>
          <w:szCs w:val="24"/>
        </w:rPr>
        <w:t>Tegevuskava</w:t>
      </w:r>
    </w:p>
    <w:p w:rsidR="00C747CF" w:rsidRPr="006E0966" w:rsidRDefault="00722B67" w:rsidP="006E0966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hAnsi="Times New Roman" w:cs="Times New Roman"/>
          <w:sz w:val="24"/>
          <w:szCs w:val="24"/>
        </w:rPr>
        <w:t xml:space="preserve">Strateegia elluviimine ja hindamine 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b/>
          <w:color w:val="394A59"/>
          <w:sz w:val="24"/>
          <w:szCs w:val="24"/>
        </w:rPr>
      </w:pPr>
      <w:r w:rsidRPr="006E0966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3158877" cy="4043363"/>
            <wp:effectExtent l="0" t="0" r="0" b="0"/>
            <wp:docPr id="3" name="image05.png" descr="Arengukava struktuuri näid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Arengukava struktuuri näidi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8877" cy="4043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47CF" w:rsidRPr="006E0966" w:rsidRDefault="00C747CF" w:rsidP="006E0966">
      <w:pPr>
        <w:pStyle w:val="Heading1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3d2qppz5pjw5" w:colFirst="0" w:colLast="0"/>
      <w:bookmarkEnd w:id="2"/>
    </w:p>
    <w:p w:rsidR="00C747CF" w:rsidRPr="006E0966" w:rsidRDefault="00722B67" w:rsidP="006E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hAnsi="Times New Roman" w:cs="Times New Roman"/>
          <w:sz w:val="24"/>
          <w:szCs w:val="24"/>
        </w:rPr>
        <w:br w:type="page"/>
      </w:r>
    </w:p>
    <w:p w:rsidR="00C747CF" w:rsidRPr="006E0966" w:rsidRDefault="00C747CF" w:rsidP="006E0966">
      <w:pPr>
        <w:pStyle w:val="Heading1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1cc25sbgxqk8" w:colFirst="0" w:colLast="0"/>
      <w:bookmarkEnd w:id="3"/>
    </w:p>
    <w:p w:rsidR="00C747CF" w:rsidRPr="006E0966" w:rsidRDefault="00722B67" w:rsidP="006E0966">
      <w:pPr>
        <w:pStyle w:val="Heading1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ssadiuz6ihty" w:colFirst="0" w:colLast="0"/>
      <w:bookmarkEnd w:id="4"/>
      <w:r w:rsidRPr="006E0966">
        <w:rPr>
          <w:rFonts w:ascii="Times New Roman" w:hAnsi="Times New Roman" w:cs="Times New Roman"/>
          <w:b/>
          <w:sz w:val="24"/>
          <w:szCs w:val="24"/>
        </w:rPr>
        <w:t>Sissejuhatus</w:t>
      </w:r>
    </w:p>
    <w:p w:rsidR="00C747CF" w:rsidRPr="006E0966" w:rsidRDefault="00722B67" w:rsidP="006E0966">
      <w:pPr>
        <w:spacing w:before="300" w:after="2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66">
        <w:rPr>
          <w:rFonts w:ascii="Times New Roman" w:hAnsi="Times New Roman" w:cs="Times New Roman"/>
          <w:sz w:val="24"/>
          <w:szCs w:val="24"/>
        </w:rPr>
        <w:t>Sissejuhatav osa selgitab, miks antud dokument on koostatud ja kelle poolt - kuidas toi</w:t>
      </w:r>
      <w:r w:rsidRPr="006E0966">
        <w:rPr>
          <w:rFonts w:ascii="Times New Roman" w:hAnsi="Times New Roman" w:cs="Times New Roman"/>
          <w:sz w:val="24"/>
          <w:szCs w:val="24"/>
        </w:rPr>
        <w:t xml:space="preserve">mus mittetulundusühenduses selle dokumendi koostamise protsess. Arengukava koostamisel osalejad võib nimeliselt välja tuua </w:t>
      </w:r>
      <w:r w:rsidRPr="006E0966">
        <w:rPr>
          <w:rFonts w:ascii="Times New Roman" w:hAnsi="Times New Roman" w:cs="Times New Roman"/>
          <w:b/>
          <w:sz w:val="24"/>
          <w:szCs w:val="24"/>
        </w:rPr>
        <w:t>lisana.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Kui koostamisse on kaasatud mitu sidusorganisatsiooni või kava on koostatud mitme küla peale, siis on oluline märkida kõik pa</w:t>
      </w:r>
      <w:r w:rsidRPr="006E0966">
        <w:rPr>
          <w:rFonts w:ascii="Times New Roman" w:eastAsia="Verdana" w:hAnsi="Times New Roman" w:cs="Times New Roman"/>
          <w:sz w:val="24"/>
          <w:szCs w:val="24"/>
        </w:rPr>
        <w:t>rtnerid (sh organisatsioonid) ja ka nende lühitutvustus. Lühidalt võib kirjeldada arengukava koostamise protsessi: mitu koosolekut mittetulundusühenduses või kodanikuühendustes kokku peeti, keda küsitleti, keda kaasati eksperdina, kuidas tehti teavitustege</w:t>
      </w:r>
      <w:r w:rsidRPr="006E0966">
        <w:rPr>
          <w:rFonts w:ascii="Times New Roman" w:eastAsia="Verdana" w:hAnsi="Times New Roman" w:cs="Times New Roman"/>
          <w:sz w:val="24"/>
          <w:szCs w:val="24"/>
        </w:rPr>
        <w:t>vusi.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 xml:space="preserve">Mittetulundusühenduse tutvustus </w:t>
      </w:r>
      <w:r w:rsidRPr="006E0966">
        <w:rPr>
          <w:rFonts w:ascii="Times New Roman" w:eastAsia="Verdana" w:hAnsi="Times New Roman" w:cs="Times New Roman"/>
          <w:sz w:val="24"/>
          <w:szCs w:val="24"/>
        </w:rPr>
        <w:t>(sissejuhatuse osa)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6E0966">
        <w:rPr>
          <w:rFonts w:ascii="Times New Roman" w:eastAsia="Verdana" w:hAnsi="Times New Roman" w:cs="Times New Roman"/>
          <w:sz w:val="24"/>
          <w:szCs w:val="24"/>
        </w:rPr>
        <w:t>võiks sisaldada lühiülevaadet organisatsioonist (külast), liikmetest (elanikkonnast) ja juhtimisest; kirjeldada keskkonda, milles kodanikuühendus tegutseb. Näiteks võib välja tuua ümbritsevad majand</w:t>
      </w:r>
      <w:r w:rsidRPr="006E0966">
        <w:rPr>
          <w:rFonts w:ascii="Times New Roman" w:eastAsia="Verdana" w:hAnsi="Times New Roman" w:cs="Times New Roman"/>
          <w:sz w:val="24"/>
          <w:szCs w:val="24"/>
        </w:rPr>
        <w:t>uslikud olud, koostööpartnerid, sh statistiline ülevaade, varad, eelarved eelmistel aastatel. Kui kava on koostatud mitme küla peale, on oluline välja tuua, kuidas iga küla/piirkonna vajadusi ja huve on arvestatud. Sama nõuanne kehtib ka katusorganisatsioo</w:t>
      </w:r>
      <w:r w:rsidRPr="006E0966">
        <w:rPr>
          <w:rFonts w:ascii="Times New Roman" w:eastAsia="Verdana" w:hAnsi="Times New Roman" w:cs="Times New Roman"/>
          <w:sz w:val="24"/>
          <w:szCs w:val="24"/>
        </w:rPr>
        <w:t>nide kohta.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i/>
          <w:sz w:val="24"/>
          <w:szCs w:val="24"/>
        </w:rPr>
      </w:pPr>
      <w:r w:rsidRPr="006E0966">
        <w:rPr>
          <w:rFonts w:ascii="Times New Roman" w:eastAsia="Verdana" w:hAnsi="Times New Roman" w:cs="Times New Roman"/>
          <w:i/>
          <w:sz w:val="24"/>
          <w:szCs w:val="24"/>
        </w:rPr>
        <w:t>Soovitus: ära kirjuta mittetulundusühenduse tutvustust kui ühingu kronoloogilist ajalugu või tegevuskalendrit ürituste kohta. Piisab üldisemast tutvustusest, et aru saada, millega kodanikuühendus peamiselt tegeleb. Võib välja tuua peamised tege</w:t>
      </w:r>
      <w:r w:rsidRPr="006E0966">
        <w:rPr>
          <w:rFonts w:ascii="Times New Roman" w:eastAsia="Verdana" w:hAnsi="Times New Roman" w:cs="Times New Roman"/>
          <w:i/>
          <w:sz w:val="24"/>
          <w:szCs w:val="24"/>
        </w:rPr>
        <w:t>vused, suuremad saavutused, projektid ja nende lühitutvustuse. Pikema ja detailsema tegevuste ülevaate võib koondada lisadesse, millele kava tekstis viidata.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i/>
          <w:sz w:val="24"/>
          <w:szCs w:val="24"/>
        </w:rPr>
      </w:pPr>
      <w:r w:rsidRPr="006E0966">
        <w:rPr>
          <w:rFonts w:ascii="Times New Roman" w:eastAsia="Verdana" w:hAnsi="Times New Roman" w:cs="Times New Roman"/>
          <w:i/>
          <w:sz w:val="24"/>
          <w:szCs w:val="24"/>
        </w:rPr>
        <w:t>Selline struktuur aitab võõral lugejal arengukavast kiiresti leida otsitavad pidepunktid.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color w:val="394A59"/>
          <w:sz w:val="24"/>
          <w:szCs w:val="24"/>
        </w:rPr>
      </w:pPr>
      <w:r w:rsidRPr="006E0966">
        <w:rPr>
          <w:rFonts w:ascii="Times New Roman" w:eastAsia="Verdana" w:hAnsi="Times New Roman" w:cs="Times New Roman"/>
          <w:color w:val="394A59"/>
          <w:sz w:val="24"/>
          <w:szCs w:val="24"/>
        </w:rPr>
        <w:t xml:space="preserve"> </w:t>
      </w:r>
    </w:p>
    <w:p w:rsidR="00C747CF" w:rsidRPr="006E0966" w:rsidRDefault="00722B67" w:rsidP="006E0966">
      <w:pPr>
        <w:pStyle w:val="Heading1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8xsz4f2xyh0h" w:colFirst="0" w:colLast="0"/>
      <w:bookmarkEnd w:id="5"/>
      <w:r w:rsidRPr="006E0966">
        <w:rPr>
          <w:rFonts w:ascii="Times New Roman" w:hAnsi="Times New Roman" w:cs="Times New Roman"/>
          <w:b/>
          <w:sz w:val="24"/>
          <w:szCs w:val="24"/>
        </w:rPr>
        <w:t>Mittetulundusühenduse vajadused/probleemid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Selles peatükis tuleks välja tuua võimalikult laia ringkonna (liikmed, sihtrühm, koostööpartnerid, konkurendid) arvamus kõigist kodanikuühenduse vajadustest ja probleemidest. Nende väljaselgitamiseks sobivad nii a</w:t>
      </w:r>
      <w:r w:rsidRPr="006E0966">
        <w:rPr>
          <w:rFonts w:ascii="Times New Roman" w:eastAsia="Verdana" w:hAnsi="Times New Roman" w:cs="Times New Roman"/>
          <w:sz w:val="24"/>
          <w:szCs w:val="24"/>
        </w:rPr>
        <w:t>rutelud, koosolekud kui ka küsitlused. Probleemide väljaselgitamiseks võib kasutada ka SWOT-analüüsi.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 xml:space="preserve">SWOT-analüüs 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ehk eesti keeles TVNO-analüüs annab sisendit ka teistele arengukava peatükkidele. SWOT tuleneb ingliskeelsetest väljenditest </w:t>
      </w:r>
      <w:proofErr w:type="spellStart"/>
      <w:r w:rsidRPr="006E0966">
        <w:rPr>
          <w:rFonts w:ascii="Times New Roman" w:eastAsia="Verdana" w:hAnsi="Times New Roman" w:cs="Times New Roman"/>
          <w:b/>
          <w:i/>
          <w:sz w:val="24"/>
          <w:szCs w:val="24"/>
        </w:rPr>
        <w:t>strengths</w:t>
      </w:r>
      <w:proofErr w:type="spellEnd"/>
      <w:r w:rsidRPr="006E0966">
        <w:rPr>
          <w:rFonts w:ascii="Times New Roman" w:eastAsia="Verdana" w:hAnsi="Times New Roman" w:cs="Times New Roman"/>
          <w:b/>
          <w:i/>
          <w:sz w:val="24"/>
          <w:szCs w:val="24"/>
        </w:rPr>
        <w:t xml:space="preserve"> </w:t>
      </w:r>
      <w:r w:rsidRPr="006E0966">
        <w:rPr>
          <w:rFonts w:ascii="Times New Roman" w:eastAsia="Verdana" w:hAnsi="Times New Roman" w:cs="Times New Roman"/>
          <w:i/>
          <w:sz w:val="24"/>
          <w:szCs w:val="24"/>
        </w:rPr>
        <w:t xml:space="preserve">- </w:t>
      </w:r>
      <w:r w:rsidRPr="006E0966">
        <w:rPr>
          <w:rFonts w:ascii="Times New Roman" w:eastAsia="Verdana" w:hAnsi="Times New Roman" w:cs="Times New Roman"/>
          <w:sz w:val="24"/>
          <w:szCs w:val="24"/>
        </w:rPr>
        <w:t>tuge</w:t>
      </w:r>
      <w:r w:rsidRPr="006E0966">
        <w:rPr>
          <w:rFonts w:ascii="Times New Roman" w:eastAsia="Verdana" w:hAnsi="Times New Roman" w:cs="Times New Roman"/>
          <w:sz w:val="24"/>
          <w:szCs w:val="24"/>
        </w:rPr>
        <w:t>vused</w:t>
      </w:r>
      <w:r w:rsidRPr="006E0966">
        <w:rPr>
          <w:rFonts w:ascii="Times New Roman" w:eastAsia="Verdana" w:hAnsi="Times New Roman" w:cs="Times New Roman"/>
          <w:i/>
          <w:sz w:val="24"/>
          <w:szCs w:val="24"/>
        </w:rPr>
        <w:t xml:space="preserve">, </w:t>
      </w:r>
      <w:proofErr w:type="spellStart"/>
      <w:r w:rsidRPr="006E0966">
        <w:rPr>
          <w:rFonts w:ascii="Times New Roman" w:eastAsia="Verdana" w:hAnsi="Times New Roman" w:cs="Times New Roman"/>
          <w:b/>
          <w:i/>
          <w:sz w:val="24"/>
          <w:szCs w:val="24"/>
        </w:rPr>
        <w:t>opportunities</w:t>
      </w:r>
      <w:proofErr w:type="spellEnd"/>
      <w:r w:rsidRPr="006E0966">
        <w:rPr>
          <w:rFonts w:ascii="Times New Roman" w:eastAsia="Verdana" w:hAnsi="Times New Roman" w:cs="Times New Roman"/>
          <w:i/>
          <w:sz w:val="24"/>
          <w:szCs w:val="24"/>
        </w:rPr>
        <w:t xml:space="preserve"> - </w:t>
      </w:r>
      <w:r w:rsidRPr="006E0966">
        <w:rPr>
          <w:rFonts w:ascii="Times New Roman" w:eastAsia="Verdana" w:hAnsi="Times New Roman" w:cs="Times New Roman"/>
          <w:sz w:val="24"/>
          <w:szCs w:val="24"/>
        </w:rPr>
        <w:t>võimalused</w:t>
      </w:r>
      <w:r w:rsidRPr="006E0966">
        <w:rPr>
          <w:rFonts w:ascii="Times New Roman" w:eastAsia="Verdana" w:hAnsi="Times New Roman" w:cs="Times New Roman"/>
          <w:i/>
          <w:sz w:val="24"/>
          <w:szCs w:val="24"/>
        </w:rPr>
        <w:t xml:space="preserve">, </w:t>
      </w:r>
      <w:proofErr w:type="spellStart"/>
      <w:r w:rsidRPr="006E0966">
        <w:rPr>
          <w:rFonts w:ascii="Times New Roman" w:eastAsia="Verdana" w:hAnsi="Times New Roman" w:cs="Times New Roman"/>
          <w:b/>
          <w:i/>
          <w:sz w:val="24"/>
          <w:szCs w:val="24"/>
        </w:rPr>
        <w:t>weaknesses</w:t>
      </w:r>
      <w:proofErr w:type="spellEnd"/>
      <w:r w:rsidRPr="006E0966">
        <w:rPr>
          <w:rFonts w:ascii="Times New Roman" w:eastAsia="Verdana" w:hAnsi="Times New Roman" w:cs="Times New Roman"/>
          <w:i/>
          <w:sz w:val="24"/>
          <w:szCs w:val="24"/>
        </w:rPr>
        <w:t xml:space="preserve"> -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nõrkused</w:t>
      </w:r>
      <w:r w:rsidRPr="006E0966">
        <w:rPr>
          <w:rFonts w:ascii="Times New Roman" w:eastAsia="Verdana" w:hAnsi="Times New Roman" w:cs="Times New Roman"/>
          <w:i/>
          <w:sz w:val="24"/>
          <w:szCs w:val="24"/>
        </w:rPr>
        <w:t xml:space="preserve">, </w:t>
      </w:r>
      <w:proofErr w:type="spellStart"/>
      <w:r w:rsidRPr="006E0966">
        <w:rPr>
          <w:rFonts w:ascii="Times New Roman" w:eastAsia="Verdana" w:hAnsi="Times New Roman" w:cs="Times New Roman"/>
          <w:b/>
          <w:i/>
          <w:sz w:val="24"/>
          <w:szCs w:val="24"/>
        </w:rPr>
        <w:t>threats</w:t>
      </w:r>
      <w:proofErr w:type="spellEnd"/>
      <w:r w:rsidRPr="006E0966">
        <w:rPr>
          <w:rFonts w:ascii="Times New Roman" w:eastAsia="Verdana" w:hAnsi="Times New Roman" w:cs="Times New Roman"/>
          <w:i/>
          <w:sz w:val="24"/>
          <w:szCs w:val="24"/>
        </w:rPr>
        <w:t xml:space="preserve"> - </w:t>
      </w:r>
      <w:r w:rsidRPr="006E0966">
        <w:rPr>
          <w:rFonts w:ascii="Times New Roman" w:eastAsia="Verdana" w:hAnsi="Times New Roman" w:cs="Times New Roman"/>
          <w:sz w:val="24"/>
          <w:szCs w:val="24"/>
        </w:rPr>
        <w:t>ohud. Kõik mainitud kitsaskohad tuleks kirja panna, isegi kui üks ja sama väide on samal ajal nii tugevus kui ka nõrkus. SWOT-analüüsi puhul tuleb kindlasti ära teha ka analüüs, kuidas nõr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kused tugevuseks ja ohud võimalusteks pöörata. 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color w:val="394A59"/>
          <w:sz w:val="24"/>
          <w:szCs w:val="24"/>
        </w:rPr>
      </w:pPr>
      <w:r w:rsidRPr="006E096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4762500" cy="4762500"/>
            <wp:effectExtent l="0" t="0" r="0" b="0"/>
            <wp:docPr id="1" name="image03.png" descr="SWOT tab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SWOT tabe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47CF" w:rsidRPr="006E0966" w:rsidRDefault="00C747CF" w:rsidP="006E0966">
      <w:pPr>
        <w:pStyle w:val="Heading1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7e8tz6xgfx14" w:colFirst="0" w:colLast="0"/>
      <w:bookmarkEnd w:id="6"/>
    </w:p>
    <w:p w:rsidR="00C747CF" w:rsidRPr="006E0966" w:rsidRDefault="00722B67" w:rsidP="006E0966">
      <w:pPr>
        <w:pStyle w:val="Heading1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ooq0lygyhzhi" w:colFirst="0" w:colLast="0"/>
      <w:bookmarkEnd w:id="7"/>
      <w:r w:rsidRPr="006E0966">
        <w:rPr>
          <w:rFonts w:ascii="Times New Roman" w:hAnsi="Times New Roman" w:cs="Times New Roman"/>
          <w:b/>
          <w:sz w:val="24"/>
          <w:szCs w:val="24"/>
        </w:rPr>
        <w:t>Visioon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Visioon on tulevikupilt, arusaam organisatsiooni tulevikust, kuhu tahetakse jõuda mingi aja jooksul</w:t>
      </w:r>
      <w:r w:rsidRPr="006E0966">
        <w:rPr>
          <w:rFonts w:ascii="Times New Roman" w:eastAsia="Verdana" w:hAnsi="Times New Roman" w:cs="Times New Roman"/>
          <w:sz w:val="24"/>
          <w:szCs w:val="24"/>
        </w:rPr>
        <w:t>. Visioon peab olema lühike, konkreetne ja üheselt mõistetav.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Visioon ei ole lühike hüüdlause või </w:t>
      </w:r>
      <w:proofErr w:type="spellStart"/>
      <w:r w:rsidRPr="006E0966">
        <w:rPr>
          <w:rFonts w:ascii="Times New Roman" w:eastAsia="Verdana" w:hAnsi="Times New Roman" w:cs="Times New Roman"/>
          <w:i/>
          <w:sz w:val="24"/>
          <w:szCs w:val="24"/>
        </w:rPr>
        <w:t>müügislogan</w:t>
      </w:r>
      <w:proofErr w:type="spellEnd"/>
      <w:r w:rsidRPr="006E0966">
        <w:rPr>
          <w:rFonts w:ascii="Times New Roman" w:eastAsia="Verdana" w:hAnsi="Times New Roman" w:cs="Times New Roman"/>
          <w:sz w:val="24"/>
          <w:szCs w:val="24"/>
        </w:rPr>
        <w:t>. Tulevikunägemuse kokkuleppimisel peaks osalema kogu kodanikuühendus tervikuna ning see peaks olema kõigile üheselt arusaadav, et kõik mittetulundusühenduse liikmed saaks selle poole üheskoos liikuda.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Strateegiakujundamise lõpuks võib panna kir</w:t>
      </w:r>
      <w:r w:rsidRPr="006E0966">
        <w:rPr>
          <w:rFonts w:ascii="Times New Roman" w:eastAsia="Verdana" w:hAnsi="Times New Roman" w:cs="Times New Roman"/>
          <w:sz w:val="24"/>
          <w:szCs w:val="24"/>
        </w:rPr>
        <w:t>ja visiooni lühikese sõnastuse (tavaliselt kuni veerand lehekülge), ent kindlasti tuleks visioonisõnastus arengukavas ka pikemalt ja detailsemalt lahti kirjutada.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6E0966" w:rsidRPr="006E0966" w:rsidRDefault="006E0966" w:rsidP="006E0966">
      <w:pPr>
        <w:spacing w:after="16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6E0966" w:rsidRPr="006E0966" w:rsidRDefault="006E0966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br w:type="page"/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6E0966">
        <w:rPr>
          <w:rFonts w:ascii="Times New Roman" w:eastAsia="Verdana" w:hAnsi="Times New Roman" w:cs="Times New Roman"/>
          <w:b/>
          <w:sz w:val="24"/>
          <w:szCs w:val="24"/>
        </w:rPr>
        <w:lastRenderedPageBreak/>
        <w:t>Visioneerimise</w:t>
      </w:r>
      <w:proofErr w:type="spellEnd"/>
      <w:r w:rsidRPr="006E0966">
        <w:rPr>
          <w:rFonts w:ascii="Times New Roman" w:eastAsia="Verdana" w:hAnsi="Times New Roman" w:cs="Times New Roman"/>
          <w:b/>
          <w:sz w:val="24"/>
          <w:szCs w:val="24"/>
        </w:rPr>
        <w:t xml:space="preserve"> kasutegur </w:t>
      </w:r>
      <w:r w:rsidRPr="006E0966">
        <w:rPr>
          <w:rFonts w:ascii="Times New Roman" w:eastAsia="Verdana" w:hAnsi="Times New Roman" w:cs="Times New Roman"/>
          <w:sz w:val="24"/>
          <w:szCs w:val="24"/>
        </w:rPr>
        <w:t>kodanikuühendusele seisneb järgnevas:</w:t>
      </w:r>
    </w:p>
    <w:p w:rsidR="00C747CF" w:rsidRPr="006E0966" w:rsidRDefault="00722B67" w:rsidP="006E0966">
      <w:pPr>
        <w:numPr>
          <w:ilvl w:val="0"/>
          <w:numId w:val="1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annab mittetulundusühendusel</w:t>
      </w:r>
      <w:r w:rsidRPr="006E0966">
        <w:rPr>
          <w:rFonts w:ascii="Times New Roman" w:eastAsia="Verdana" w:hAnsi="Times New Roman" w:cs="Times New Roman"/>
          <w:sz w:val="24"/>
          <w:szCs w:val="24"/>
        </w:rPr>
        <w:t>e ja selle arengutele kaugeleulatuva eesmärgi</w:t>
      </w:r>
    </w:p>
    <w:p w:rsidR="00C747CF" w:rsidRPr="006E0966" w:rsidRDefault="00722B67" w:rsidP="006E0966">
      <w:pPr>
        <w:numPr>
          <w:ilvl w:val="0"/>
          <w:numId w:val="1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motiveerib inimesi töötama ja panustama</w:t>
      </w:r>
    </w:p>
    <w:p w:rsidR="00C747CF" w:rsidRPr="006E0966" w:rsidRDefault="00722B67" w:rsidP="006E0966">
      <w:pPr>
        <w:numPr>
          <w:ilvl w:val="0"/>
          <w:numId w:val="1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paneb inimesed mõtlema loovamalt ja innovaatilisemalt</w:t>
      </w:r>
    </w:p>
    <w:p w:rsidR="00C747CF" w:rsidRPr="006E0966" w:rsidRDefault="00722B67" w:rsidP="006E0966">
      <w:pPr>
        <w:numPr>
          <w:ilvl w:val="0"/>
          <w:numId w:val="1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tugevdab ühenduse liikmete omanikutunnet ja vastutust</w:t>
      </w:r>
    </w:p>
    <w:p w:rsidR="00C747CF" w:rsidRPr="006E0966" w:rsidRDefault="00722B67" w:rsidP="006E0966">
      <w:pPr>
        <w:numPr>
          <w:ilvl w:val="0"/>
          <w:numId w:val="1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võimaldab kaasata erinevaid osapooli oma tegevuste planeerimisse</w:t>
      </w:r>
    </w:p>
    <w:p w:rsidR="00C747CF" w:rsidRPr="006E0966" w:rsidRDefault="00722B67" w:rsidP="006E0966">
      <w:pPr>
        <w:numPr>
          <w:ilvl w:val="0"/>
          <w:numId w:val="1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ehitab meeskondi ja annab neile uue hingamise</w:t>
      </w:r>
    </w:p>
    <w:p w:rsidR="00C747CF" w:rsidRPr="006E0966" w:rsidRDefault="00722B67" w:rsidP="006E0966">
      <w:pPr>
        <w:pStyle w:val="Heading1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9gaoxelazwrt" w:colFirst="0" w:colLast="0"/>
      <w:bookmarkEnd w:id="8"/>
      <w:r w:rsidRPr="006E0966">
        <w:rPr>
          <w:rFonts w:ascii="Times New Roman" w:hAnsi="Times New Roman" w:cs="Times New Roman"/>
          <w:b/>
          <w:sz w:val="24"/>
          <w:szCs w:val="24"/>
        </w:rPr>
        <w:t>Missioon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Missioon on põhjendus mittetulundusühenduse olemasolule, selle keskne idee ehk vastus küsimusele, miks ja kelle jaoks me olemas oleme, m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iks meie mittetulundusühendust üldse vaja on?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Missioon peab lähtuma sihtgrupist, olema konkreetne ja igaühele selgesti arusaadav.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Oluline osa missiooni sõnastamisel on mittetulundusühenduse ainulaadsuse ja kordumatuse leidmine - ärimaailma kõnepruugis võik</w:t>
      </w:r>
      <w:r w:rsidRPr="006E0966">
        <w:rPr>
          <w:rFonts w:ascii="Times New Roman" w:eastAsia="Verdana" w:hAnsi="Times New Roman" w:cs="Times New Roman"/>
          <w:sz w:val="24"/>
          <w:szCs w:val="24"/>
        </w:rPr>
        <w:t>s rääkida ka konkurentsieelisest. Mis juhtuks, kui ühendust homme enam poleks? Siinkohal võiks välja tuua need omadused, mis eristavad teid kõikidest teistest ja on seeläbi ainulaadne ja kordumatu.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Juhtimisteoreetik Tom </w:t>
      </w:r>
      <w:proofErr w:type="spellStart"/>
      <w:r w:rsidRPr="006E0966">
        <w:rPr>
          <w:rFonts w:ascii="Times New Roman" w:eastAsia="Verdana" w:hAnsi="Times New Roman" w:cs="Times New Roman"/>
          <w:sz w:val="24"/>
          <w:szCs w:val="24"/>
        </w:rPr>
        <w:t>Peters</w:t>
      </w:r>
      <w:proofErr w:type="spellEnd"/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on kirjeldanud 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efektiivse mis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siooni kaheksat omadust</w:t>
      </w:r>
      <w:r w:rsidRPr="006E0966">
        <w:rPr>
          <w:rFonts w:ascii="Times New Roman" w:eastAsia="Verdana" w:hAnsi="Times New Roman" w:cs="Times New Roman"/>
          <w:sz w:val="24"/>
          <w:szCs w:val="24"/>
        </w:rPr>
        <w:t>. Efektiivne missioon peaks olema:</w:t>
      </w:r>
    </w:p>
    <w:p w:rsidR="00C747CF" w:rsidRPr="006E0966" w:rsidRDefault="00722B67" w:rsidP="006E0966">
      <w:pPr>
        <w:numPr>
          <w:ilvl w:val="0"/>
          <w:numId w:val="4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inspireeriv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- missioon pakub motiveeriva ja innustava nägemuse sellest, milliseks mittetulundusühendus või meeskond võiks ideaalis saada</w:t>
      </w:r>
    </w:p>
    <w:p w:rsidR="00C747CF" w:rsidRPr="006E0966" w:rsidRDefault="00722B67" w:rsidP="006E0966">
      <w:pPr>
        <w:numPr>
          <w:ilvl w:val="0"/>
          <w:numId w:val="4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selge ja väljakutsuv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- missioon kirjeldab selget nägemust ajahetkest tulevikus, mitte pelgalt hetkeolukorra kirjeldust</w:t>
      </w:r>
    </w:p>
    <w:p w:rsidR="00C747CF" w:rsidRPr="006E0966" w:rsidRDefault="00722B67" w:rsidP="006E0966">
      <w:pPr>
        <w:numPr>
          <w:ilvl w:val="0"/>
          <w:numId w:val="4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eristuv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- missioon peaks kirjeldama kodanikuühenduse või meeskonna erilisust ehk neid omadusi, mis eristavad teda teistest sarnastest organisatsioonidest või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meeskondadest</w:t>
      </w:r>
    </w:p>
    <w:p w:rsidR="00C747CF" w:rsidRPr="006E0966" w:rsidRDefault="00722B67" w:rsidP="006E0966">
      <w:pPr>
        <w:numPr>
          <w:ilvl w:val="0"/>
          <w:numId w:val="4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 xml:space="preserve">stabiilne ja paindlik </w:t>
      </w:r>
      <w:r w:rsidRPr="006E0966">
        <w:rPr>
          <w:rFonts w:ascii="Times New Roman" w:eastAsia="Verdana" w:hAnsi="Times New Roman" w:cs="Times New Roman"/>
          <w:sz w:val="24"/>
          <w:szCs w:val="24"/>
        </w:rPr>
        <w:t>- missioon peab mittetulundusühendusele või meeskonnale pakkuma kindlust ja stabiilsust, samas olema kohandatud muutustele, mida uued olukorrad ja tingimused võivad ajas kaasa tuua</w:t>
      </w:r>
    </w:p>
    <w:p w:rsidR="00C747CF" w:rsidRPr="006E0966" w:rsidRDefault="00722B67" w:rsidP="006E0966">
      <w:pPr>
        <w:numPr>
          <w:ilvl w:val="0"/>
          <w:numId w:val="4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valgustav ja suunda näitav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- missioon </w:t>
      </w:r>
      <w:r w:rsidRPr="006E0966">
        <w:rPr>
          <w:rFonts w:ascii="Times New Roman" w:eastAsia="Verdana" w:hAnsi="Times New Roman" w:cs="Times New Roman"/>
          <w:sz w:val="24"/>
          <w:szCs w:val="24"/>
        </w:rPr>
        <w:t>näitab majakana suunda, pakkudes välja selge arusaama kokkulepitud väärtustest ja põhimõtetest, millele inimesed saavad keerulistes olukordades toetuda</w:t>
      </w:r>
    </w:p>
    <w:p w:rsidR="00C747CF" w:rsidRPr="006E0966" w:rsidRDefault="00722B67" w:rsidP="006E0966">
      <w:pPr>
        <w:numPr>
          <w:ilvl w:val="0"/>
          <w:numId w:val="4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jõudu andev ja mobiliseeriv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- missioon peab aitama kodanikuühenduse või meeskonna liikmetel anda endast </w:t>
      </w:r>
      <w:r w:rsidRPr="006E0966">
        <w:rPr>
          <w:rFonts w:ascii="Times New Roman" w:eastAsia="Verdana" w:hAnsi="Times New Roman" w:cs="Times New Roman"/>
          <w:sz w:val="24"/>
          <w:szCs w:val="24"/>
        </w:rPr>
        <w:t>parim tulemus, tooma neis esile kõige tugevamad omadused</w:t>
      </w:r>
    </w:p>
    <w:p w:rsidR="00C747CF" w:rsidRPr="006E0966" w:rsidRDefault="00722B67" w:rsidP="006E0966">
      <w:pPr>
        <w:numPr>
          <w:ilvl w:val="0"/>
          <w:numId w:val="4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tulevikku vaatav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- ettepoole suunatuna peab missioon aitama inimestel keskenduda tulemusele, tekitades ühtekuuluvust, kindlustunnet ja pühendumust</w:t>
      </w:r>
    </w:p>
    <w:p w:rsidR="006E0966" w:rsidRPr="006E0966" w:rsidRDefault="00722B67" w:rsidP="006E0966">
      <w:pPr>
        <w:numPr>
          <w:ilvl w:val="0"/>
          <w:numId w:val="4"/>
        </w:numPr>
        <w:spacing w:before="220" w:after="380" w:line="240" w:lineRule="auto"/>
        <w:ind w:hanging="360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piisavalt konkreetne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- missioon peab keskenduma mitt</w:t>
      </w:r>
      <w:r w:rsidRPr="006E0966">
        <w:rPr>
          <w:rFonts w:ascii="Times New Roman" w:eastAsia="Verdana" w:hAnsi="Times New Roman" w:cs="Times New Roman"/>
          <w:sz w:val="24"/>
          <w:szCs w:val="24"/>
        </w:rPr>
        <w:t>etulundusühenduse või meeskonna konkreetsetele tegevustele ja eesmärkidele, mitte olema vaid üldistav ja laialivalguv</w:t>
      </w:r>
      <w:bookmarkStart w:id="9" w:name="_79gwxd12klun" w:colFirst="0" w:colLast="0"/>
      <w:bookmarkEnd w:id="9"/>
    </w:p>
    <w:p w:rsidR="006E0966" w:rsidRPr="006E0966" w:rsidRDefault="006E0966" w:rsidP="006E0966">
      <w:pPr>
        <w:rPr>
          <w:rFonts w:ascii="Times New Roman" w:hAnsi="Times New Roman" w:cs="Times New Roman"/>
        </w:rPr>
      </w:pPr>
    </w:p>
    <w:p w:rsidR="006E0966" w:rsidRPr="006E0966" w:rsidRDefault="006E0966">
      <w:pPr>
        <w:rPr>
          <w:rFonts w:ascii="Times New Roman" w:hAnsi="Times New Roman" w:cs="Times New Roman"/>
          <w:b/>
          <w:sz w:val="24"/>
          <w:szCs w:val="24"/>
        </w:rPr>
      </w:pPr>
      <w:r w:rsidRPr="006E096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47CF" w:rsidRPr="006E0966" w:rsidRDefault="00722B67" w:rsidP="006E0966">
      <w:pPr>
        <w:pStyle w:val="Heading1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66">
        <w:rPr>
          <w:rFonts w:ascii="Times New Roman" w:hAnsi="Times New Roman" w:cs="Times New Roman"/>
          <w:b/>
          <w:sz w:val="24"/>
          <w:szCs w:val="24"/>
        </w:rPr>
        <w:lastRenderedPageBreak/>
        <w:t>Eesmärgid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Strateegiline eesmärk on siht, mis väljendab mittetulundusühenduse tegevuse taotletavat mõju. Strateegilisi eesmärke võib olla 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rohkem kui üks, nad võivad olla reastatud tähtsuse järjekorras. Strateegiline eesmärk sõnastatakse tulemuse või seisundina mitte protsessina. Näiteks info vahendamine ei ole eesmärk, sihtgrupis tõusnud teadlikkus aga küll. Mittetulundusühenduse eesmärgiks 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ei saa olla lihtsalt mingi tegevus, vaid selle tegevuse 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tulemus.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Eesmärke ei pea olema palju, sest eesmärkide paljusus vähendab prioriteetsust – strateegilises planeerimises ei saa olla kõik eesmärgid sama tähtsad, vaid peavad olema kitsamalt fokuseeritud.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Strateegiliste eesmärkide sõnastamisel tuleks lähtuda 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SMART-meetodist</w:t>
      </w:r>
      <w:r w:rsidRPr="006E0966">
        <w:rPr>
          <w:rFonts w:ascii="Times New Roman" w:eastAsia="Verdana" w:hAnsi="Times New Roman" w:cs="Times New Roman"/>
          <w:sz w:val="24"/>
          <w:szCs w:val="24"/>
        </w:rPr>
        <w:t>, mille kohaselt eesmärk peab olema:</w:t>
      </w:r>
    </w:p>
    <w:p w:rsidR="00C747CF" w:rsidRPr="006E0966" w:rsidRDefault="00722B67" w:rsidP="006E0966">
      <w:pPr>
        <w:numPr>
          <w:ilvl w:val="0"/>
          <w:numId w:val="3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spetsiifiline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(piisavalt konkreetne)</w:t>
      </w:r>
    </w:p>
    <w:p w:rsidR="00C747CF" w:rsidRPr="006E0966" w:rsidRDefault="00722B67" w:rsidP="006E0966">
      <w:pPr>
        <w:numPr>
          <w:ilvl w:val="0"/>
          <w:numId w:val="3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 xml:space="preserve">mõõdetav </w:t>
      </w:r>
      <w:r w:rsidRPr="006E0966">
        <w:rPr>
          <w:rFonts w:ascii="Times New Roman" w:eastAsia="Verdana" w:hAnsi="Times New Roman" w:cs="Times New Roman"/>
          <w:sz w:val="24"/>
          <w:szCs w:val="24"/>
        </w:rPr>
        <w:t>(eesmärgi saavutamist peaks olema võimalik mõõta)</w:t>
      </w:r>
    </w:p>
    <w:p w:rsidR="00C747CF" w:rsidRPr="006E0966" w:rsidRDefault="00722B67" w:rsidP="006E0966">
      <w:pPr>
        <w:numPr>
          <w:ilvl w:val="0"/>
          <w:numId w:val="3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saavutatav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(eesmärk peaks olema realistlik)</w:t>
      </w:r>
    </w:p>
    <w:p w:rsidR="00C747CF" w:rsidRPr="006E0966" w:rsidRDefault="00722B67" w:rsidP="006E0966">
      <w:pPr>
        <w:numPr>
          <w:ilvl w:val="0"/>
          <w:numId w:val="3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asjakohan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e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(eesmärk peaks toetuma organisatsiooni missioonile ja visioonile)</w:t>
      </w:r>
    </w:p>
    <w:p w:rsidR="00C747CF" w:rsidRPr="006E0966" w:rsidRDefault="00722B67" w:rsidP="006E0966">
      <w:pPr>
        <w:numPr>
          <w:ilvl w:val="0"/>
          <w:numId w:val="3"/>
        </w:numPr>
        <w:spacing w:before="220" w:after="3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b/>
          <w:sz w:val="24"/>
          <w:szCs w:val="24"/>
        </w:rPr>
        <w:t>ajastatud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(eesmärgi saavutamisele on seatud ajalised piirid)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Iga eesmärgi juurde kuuluvad mõõdikud ehk indikaatorid, mille abil on võimalik hinnata eesmärgi saavutamist. Iga eesmärgi juures on üks või mitu indikaatorit, mis väljendavad eesmärki 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mõõdetaval kujul.</w:t>
      </w:r>
    </w:p>
    <w:p w:rsidR="006E0966" w:rsidRPr="006E0966" w:rsidRDefault="006E0966" w:rsidP="006E0966">
      <w:pPr>
        <w:spacing w:after="16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C747CF" w:rsidRPr="006E0966" w:rsidRDefault="00722B67" w:rsidP="006E0966">
      <w:pPr>
        <w:pStyle w:val="Heading2"/>
        <w:keepNext w:val="0"/>
        <w:keepLines w:val="0"/>
        <w:spacing w:before="240" w:after="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e8yoj0i8fuu0" w:colFirst="0" w:colLast="0"/>
      <w:bookmarkEnd w:id="10"/>
      <w:r w:rsidRPr="006E0966">
        <w:rPr>
          <w:rFonts w:ascii="Times New Roman" w:hAnsi="Times New Roman" w:cs="Times New Roman"/>
          <w:b/>
          <w:sz w:val="24"/>
          <w:szCs w:val="24"/>
        </w:rPr>
        <w:t>Eesmärgi mõõdikud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Mõõdikud ehk indikaatorid aitavad ko</w:t>
      </w:r>
      <w:r w:rsidRPr="006E0966">
        <w:rPr>
          <w:rFonts w:ascii="Times New Roman" w:eastAsia="Verdana" w:hAnsi="Times New Roman" w:cs="Times New Roman"/>
          <w:sz w:val="24"/>
          <w:szCs w:val="24"/>
        </w:rPr>
        <w:t>danikuühendusel hinnata seda, kuidas liigutakse strateegias püstitatud eesmärkide poole. Mõõdikute seadmisel tuleks arvestada sellega, et need aitaksid hinnatud tehtud pingutuste mõju lõppeesmärgi saavutamisel.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Indikaatoreid on mitmesuguseid. Kõige paremad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on 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mõjuindikaatorid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, mis väljendavad tegevuste tulemusel saavutatud mõju ulatust (nt tõusnud teadlikkus, paranenud finantsseis, kiirenenud protsessid jt). Neid on aga keeruline mõõta ja hinnata. Lihtsam on seada 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väljundindikaatoreid</w:t>
      </w:r>
      <w:r w:rsidRPr="006E0966">
        <w:rPr>
          <w:rFonts w:ascii="Times New Roman" w:eastAsia="Verdana" w:hAnsi="Times New Roman" w:cs="Times New Roman"/>
          <w:sz w:val="24"/>
          <w:szCs w:val="24"/>
        </w:rPr>
        <w:t>, kuid need ei pruugi v</w:t>
      </w:r>
      <w:r w:rsidRPr="006E0966">
        <w:rPr>
          <w:rFonts w:ascii="Times New Roman" w:eastAsia="Verdana" w:hAnsi="Times New Roman" w:cs="Times New Roman"/>
          <w:sz w:val="24"/>
          <w:szCs w:val="24"/>
        </w:rPr>
        <w:t>eel näidata seda, kas on liigutud ka eesmärkide saavutamisele lähemale (nt väljaantud trükised, üritustel osalejad, läbiviidud koolitused).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Kõige ülevaatlikum oleks keskenduda olulisimatele indikaatoritele, mis annavad ülevaate nii tegevuste väljunditest kui tulemustest. Näiteks teadlikkuse tõstmise puhul võiks mõõdikuteks olla nii avaldatud publikatsioonid ja meedias ilmunud artiklite arv (vä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ljundindikaator - mõõdetakse </w:t>
      </w:r>
      <w:proofErr w:type="spellStart"/>
      <w:r w:rsidRPr="006E0966">
        <w:rPr>
          <w:rFonts w:ascii="Times New Roman" w:eastAsia="Verdana" w:hAnsi="Times New Roman" w:cs="Times New Roman"/>
          <w:sz w:val="24"/>
          <w:szCs w:val="24"/>
        </w:rPr>
        <w:t>kokkulugemise</w:t>
      </w:r>
      <w:proofErr w:type="spellEnd"/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teel), kui ka teadlikkuse ulatus või selle kasv võrreldes eelmise perioodiga (tulemusindikaator -mõõdetakse näiteks küsitluste teel).</w:t>
      </w:r>
    </w:p>
    <w:p w:rsidR="00C747CF" w:rsidRPr="006E0966" w:rsidRDefault="00C747CF" w:rsidP="006E0966">
      <w:pPr>
        <w:pStyle w:val="Heading3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eastAsia="Verdana" w:hAnsi="Times New Roman" w:cs="Times New Roman"/>
          <w:color w:val="394A59"/>
          <w:sz w:val="24"/>
          <w:szCs w:val="24"/>
        </w:rPr>
      </w:pPr>
    </w:p>
    <w:p w:rsidR="00C747CF" w:rsidRPr="006E0966" w:rsidRDefault="00722B67" w:rsidP="006E0966">
      <w:pPr>
        <w:pStyle w:val="Heading1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svo1espj4jtd" w:colFirst="0" w:colLast="0"/>
      <w:bookmarkEnd w:id="11"/>
      <w:r w:rsidRPr="006E0966">
        <w:rPr>
          <w:rFonts w:ascii="Times New Roman" w:hAnsi="Times New Roman" w:cs="Times New Roman"/>
          <w:b/>
          <w:sz w:val="24"/>
          <w:szCs w:val="24"/>
        </w:rPr>
        <w:t>Kriitilised edutegurid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Järgmise sammuna tuleks tuvastada 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kriitilised eduteguri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d</w:t>
      </w:r>
      <w:r w:rsidRPr="006E0966">
        <w:rPr>
          <w:rFonts w:ascii="Times New Roman" w:eastAsia="Verdana" w:hAnsi="Times New Roman" w:cs="Times New Roman"/>
          <w:sz w:val="24"/>
          <w:szCs w:val="24"/>
        </w:rPr>
        <w:t>, mis määravad ära tulevikus saavutatava edu või läbikukkumise. Need võivad olla nii mittetulundusühenduse valitud suunad, tegevused, oskused kui ka ressursid.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lastRenderedPageBreak/>
        <w:t>Esmalt tuleks mõelda sellele, millised on need eeldused, mis teevad kodanikuühenduse oma valdko</w:t>
      </w:r>
      <w:r w:rsidRPr="006E0966">
        <w:rPr>
          <w:rFonts w:ascii="Times New Roman" w:eastAsia="Verdana" w:hAnsi="Times New Roman" w:cs="Times New Roman"/>
          <w:sz w:val="24"/>
          <w:szCs w:val="24"/>
        </w:rPr>
        <w:t>nnas edukaks. Seejärel peaks saadud omadusi võrdlema mittetulundusühenduse tänase potentsiaaliga. Kui kuskil on puudujääke, siis tuleb oma strateegias teha samme selleks, et olla tulevikus jätkusuutlik.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Näiteks võivad kriitilisteks eduteguriteks olla kuulu</w:t>
      </w:r>
      <w:r w:rsidRPr="006E0966">
        <w:rPr>
          <w:rFonts w:ascii="Times New Roman" w:eastAsia="Verdana" w:hAnsi="Times New Roman" w:cs="Times New Roman"/>
          <w:sz w:val="24"/>
          <w:szCs w:val="24"/>
        </w:rPr>
        <w:t>mine rahvusvahelisse võrgustikku, tugeva maakondliku tugistruktuuri kujundamine, atraktiivse veebikeskkonna väljaarendamine, pakutavate ürituste mitmekesisus.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Küla arengu kriitilisteks eduteguriteks võivad olla näiteks </w:t>
      </w:r>
      <w:proofErr w:type="spellStart"/>
      <w:r w:rsidRPr="006E0966">
        <w:rPr>
          <w:rFonts w:ascii="Times New Roman" w:eastAsia="Verdana" w:hAnsi="Times New Roman" w:cs="Times New Roman"/>
          <w:sz w:val="24"/>
          <w:szCs w:val="24"/>
        </w:rPr>
        <w:t>teedevõrgu</w:t>
      </w:r>
      <w:proofErr w:type="spellEnd"/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parendamine, Interneti lev</w:t>
      </w:r>
      <w:r w:rsidRPr="006E0966">
        <w:rPr>
          <w:rFonts w:ascii="Times New Roman" w:eastAsia="Verdana" w:hAnsi="Times New Roman" w:cs="Times New Roman"/>
          <w:sz w:val="24"/>
          <w:szCs w:val="24"/>
        </w:rPr>
        <w:t>iala suurenemine jt.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C747CF" w:rsidRPr="006E0966" w:rsidRDefault="00722B67" w:rsidP="006E0966">
      <w:pPr>
        <w:pStyle w:val="Heading1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23fv7jsmthv" w:colFirst="0" w:colLast="0"/>
      <w:bookmarkEnd w:id="12"/>
      <w:r w:rsidRPr="006E0966">
        <w:rPr>
          <w:rFonts w:ascii="Times New Roman" w:hAnsi="Times New Roman" w:cs="Times New Roman"/>
          <w:b/>
          <w:sz w:val="24"/>
          <w:szCs w:val="24"/>
        </w:rPr>
        <w:t>Arengukava tegevuskava ja eelarve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Vajalikud tegevused seatud eesmärkide saavutamiseks peaks kirjeldama tegevuskavas. Tegevuskava võib hõlmata 1 kuni 4 aastat, ent iga järgneva aasta planeerimine muutub järjest ebatäpsemaks. Strateegi</w:t>
      </w:r>
      <w:r w:rsidRPr="006E0966">
        <w:rPr>
          <w:rFonts w:ascii="Times New Roman" w:eastAsia="Verdana" w:hAnsi="Times New Roman" w:cs="Times New Roman"/>
          <w:sz w:val="24"/>
          <w:szCs w:val="24"/>
        </w:rPr>
        <w:t>a periood võib olla 10 kuni 20 aastat, kuid konkreetne tegevuskava (operatiivne dokument) ei tohiks ületada korraga 4-5 aastat. Tegevuskavas on näidatud konkreetsed tegevused koos ajakava, ressursside ja tegevuste elluviimise eest vastutajatega.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Arengukava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tegevuskavas kirjeldatakse tegevused, millega alustatakse arengukava perioodil ja mis 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ei kuulu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mittetulundusühenduse 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 xml:space="preserve">traditsiooniliste </w:t>
      </w:r>
      <w:r w:rsidRPr="006E0966">
        <w:rPr>
          <w:rFonts w:ascii="Times New Roman" w:eastAsia="Verdana" w:hAnsi="Times New Roman" w:cs="Times New Roman"/>
          <w:sz w:val="24"/>
          <w:szCs w:val="24"/>
        </w:rPr>
        <w:t>tegevuste hulka. Ei ole mõtet kirjutada näiteks traditsioonilist suveseminari toimumist igasse aastasse. Kui muutub trad</w:t>
      </w:r>
      <w:r w:rsidRPr="006E0966">
        <w:rPr>
          <w:rFonts w:ascii="Times New Roman" w:eastAsia="Verdana" w:hAnsi="Times New Roman" w:cs="Times New Roman"/>
          <w:sz w:val="24"/>
          <w:szCs w:val="24"/>
        </w:rPr>
        <w:t>itsioonilise tegevuse toimimisprintsiip, peaks selle kindlasti lisama (nt ühise suveseminari korraldamine X ühinguga).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Uute algatuste puhul peaks esile tooma ka tegevuse kavandatava algusaja, ligikaudse maksumuse ja vahetu tulemuse. Peab meeles pidama, et </w:t>
      </w:r>
      <w:r w:rsidRPr="006E0966">
        <w:rPr>
          <w:rFonts w:ascii="Times New Roman" w:eastAsia="Verdana" w:hAnsi="Times New Roman" w:cs="Times New Roman"/>
          <w:sz w:val="24"/>
          <w:szCs w:val="24"/>
        </w:rPr>
        <w:t>uut taset või uut olukorda ei ole võimalik saavutada vanu asju vanal viisil ja mahus tehes.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Tegevuste juurde võib eraldi lisada ka detailsema </w:t>
      </w:r>
      <w:r w:rsidRPr="006E0966">
        <w:rPr>
          <w:rFonts w:ascii="Times New Roman" w:eastAsia="Verdana" w:hAnsi="Times New Roman" w:cs="Times New Roman"/>
          <w:b/>
          <w:sz w:val="24"/>
          <w:szCs w:val="24"/>
        </w:rPr>
        <w:t>eelarve</w:t>
      </w:r>
      <w:r w:rsidRPr="006E0966">
        <w:rPr>
          <w:rFonts w:ascii="Times New Roman" w:eastAsia="Verdana" w:hAnsi="Times New Roman" w:cs="Times New Roman"/>
          <w:sz w:val="24"/>
          <w:szCs w:val="24"/>
        </w:rPr>
        <w:t>, mis näitab, kui palju ressursse oleks tarvis tegevuse elluviimiseks ja kuidas kalkulatsioon on koostatud,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 et muutuvate hindade korral saaks kiiremini „ümberhindamise“ teha.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color w:val="394A59"/>
          <w:sz w:val="24"/>
          <w:szCs w:val="24"/>
        </w:rPr>
      </w:pPr>
      <w:r w:rsidRPr="006E0966">
        <w:rPr>
          <w:rFonts w:ascii="Times New Roman" w:eastAsia="Verdana" w:hAnsi="Times New Roman" w:cs="Times New Roman"/>
          <w:color w:val="394A59"/>
          <w:sz w:val="24"/>
          <w:szCs w:val="24"/>
        </w:rPr>
        <w:t xml:space="preserve"> </w:t>
      </w:r>
    </w:p>
    <w:p w:rsidR="006E0966" w:rsidRPr="006E0966" w:rsidRDefault="006E0966">
      <w:pPr>
        <w:rPr>
          <w:rFonts w:ascii="Times New Roman" w:eastAsia="Verdana" w:hAnsi="Times New Roman" w:cs="Times New Roman"/>
          <w:b/>
          <w:sz w:val="24"/>
          <w:szCs w:val="24"/>
        </w:rPr>
      </w:pPr>
      <w:bookmarkStart w:id="13" w:name="_u4459w65fhc5" w:colFirst="0" w:colLast="0"/>
      <w:bookmarkEnd w:id="13"/>
      <w:r w:rsidRPr="006E0966">
        <w:rPr>
          <w:rFonts w:ascii="Times New Roman" w:eastAsia="Verdana" w:hAnsi="Times New Roman" w:cs="Times New Roman"/>
          <w:b/>
        </w:rPr>
        <w:br w:type="page"/>
      </w:r>
    </w:p>
    <w:p w:rsidR="00C747CF" w:rsidRPr="006E0966" w:rsidRDefault="00722B67" w:rsidP="006E0966">
      <w:pPr>
        <w:pStyle w:val="Heading4"/>
        <w:keepNext w:val="0"/>
        <w:keepLines w:val="0"/>
        <w:spacing w:before="240" w:after="40" w:line="240" w:lineRule="auto"/>
        <w:contextualSpacing w:val="0"/>
        <w:jc w:val="both"/>
        <w:rPr>
          <w:rFonts w:ascii="Times New Roman" w:eastAsia="Verdana" w:hAnsi="Times New Roman" w:cs="Times New Roman"/>
          <w:b/>
          <w:color w:val="000000"/>
        </w:rPr>
      </w:pPr>
      <w:r w:rsidRPr="006E0966">
        <w:rPr>
          <w:rFonts w:ascii="Times New Roman" w:eastAsia="Verdana" w:hAnsi="Times New Roman" w:cs="Times New Roman"/>
          <w:b/>
          <w:color w:val="000000"/>
        </w:rPr>
        <w:lastRenderedPageBreak/>
        <w:t>Tegevuskava näide: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XXXX. aasta tegevused:</w:t>
      </w:r>
    </w:p>
    <w:tbl>
      <w:tblPr>
        <w:tblStyle w:val="a"/>
        <w:tblW w:w="9300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  <w:insideH w:val="single" w:sz="6" w:space="0" w:color="E6E6E6"/>
          <w:insideV w:val="single" w:sz="6" w:space="0" w:color="E6E6E6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560"/>
        <w:gridCol w:w="1920"/>
        <w:gridCol w:w="1635"/>
        <w:gridCol w:w="1230"/>
        <w:gridCol w:w="1545"/>
      </w:tblGrid>
      <w:tr w:rsidR="00C747CF" w:rsidRPr="006E0966"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Eesmärk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Tegevus</w:t>
            </w:r>
          </w:p>
        </w:tc>
        <w:tc>
          <w:tcPr>
            <w:tcW w:w="19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Tulemus</w:t>
            </w:r>
          </w:p>
        </w:tc>
        <w:tc>
          <w:tcPr>
            <w:tcW w:w="16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Mõõdikud/mõju</w:t>
            </w:r>
          </w:p>
        </w:tc>
        <w:tc>
          <w:tcPr>
            <w:tcW w:w="12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Vastutaja</w:t>
            </w:r>
          </w:p>
        </w:tc>
        <w:tc>
          <w:tcPr>
            <w:tcW w:w="15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Eelarve maht</w:t>
            </w:r>
          </w:p>
        </w:tc>
      </w:tr>
      <w:tr w:rsidR="00C747CF" w:rsidRPr="006E0966"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Koostöö tegevused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Suveseminari korraldamine koos X ühinguga</w:t>
            </w:r>
          </w:p>
        </w:tc>
        <w:tc>
          <w:tcPr>
            <w:tcW w:w="19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Saavutatakse ühingutevaheline koostöökokkulepe, mille tulemused avaldatakse meedias probleemile kõlapinna leidmiseks</w:t>
            </w:r>
          </w:p>
        </w:tc>
        <w:tc>
          <w:tcPr>
            <w:tcW w:w="16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Osaleb 200 inimest, avaldatakse 2 artiklit üleriigilises meedias ja antakse 2 intervjuud </w:t>
            </w:r>
            <w:proofErr w:type="spellStart"/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ERR-le</w:t>
            </w:r>
            <w:proofErr w:type="spellEnd"/>
          </w:p>
        </w:tc>
        <w:tc>
          <w:tcPr>
            <w:tcW w:w="12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Pille Pink</w:t>
            </w:r>
          </w:p>
        </w:tc>
        <w:tc>
          <w:tcPr>
            <w:tcW w:w="15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2500.00 EUR</w:t>
            </w:r>
          </w:p>
        </w:tc>
      </w:tr>
      <w:tr w:rsidR="00C747CF" w:rsidRPr="006E0966"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after="16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spacing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widowControl w:val="0"/>
              <w:spacing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widowControl w:val="0"/>
              <w:spacing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widowControl w:val="0"/>
              <w:spacing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CF" w:rsidRPr="006E0966" w:rsidRDefault="00722B67" w:rsidP="006E0966">
            <w:pPr>
              <w:widowControl w:val="0"/>
              <w:spacing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6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747CF" w:rsidRPr="006E0966" w:rsidRDefault="00C747CF" w:rsidP="006E0966">
      <w:pPr>
        <w:pStyle w:val="Heading3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eastAsia="Verdana" w:hAnsi="Times New Roman" w:cs="Times New Roman"/>
          <w:color w:val="394A59"/>
          <w:sz w:val="24"/>
          <w:szCs w:val="24"/>
        </w:rPr>
      </w:pPr>
    </w:p>
    <w:p w:rsidR="00C747CF" w:rsidRPr="006E0966" w:rsidRDefault="00722B67" w:rsidP="006E0966">
      <w:pPr>
        <w:pStyle w:val="Heading1"/>
        <w:keepNext w:val="0"/>
        <w:keepLines w:val="0"/>
        <w:spacing w:before="300" w:after="2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a4r3oze4bt52" w:colFirst="0" w:colLast="0"/>
      <w:bookmarkEnd w:id="14"/>
      <w:r w:rsidRPr="006E0966">
        <w:rPr>
          <w:rFonts w:ascii="Times New Roman" w:hAnsi="Times New Roman" w:cs="Times New Roman"/>
          <w:b/>
          <w:sz w:val="24"/>
          <w:szCs w:val="24"/>
        </w:rPr>
        <w:t>Strateegia elluviimine ja hindamine</w:t>
      </w:r>
    </w:p>
    <w:p w:rsidR="00C747CF" w:rsidRPr="006E0966" w:rsidRDefault="00722B67" w:rsidP="006E09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966">
        <w:rPr>
          <w:rFonts w:ascii="Times New Roman" w:eastAsia="Verdana" w:hAnsi="Times New Roman" w:cs="Times New Roman"/>
          <w:sz w:val="24"/>
          <w:szCs w:val="24"/>
        </w:rPr>
        <w:t>Strateegia on mittetulundusühenduse jaoks dokument, mida on vaja regulaarselt üle vaadata. Selles osas kirjeldatakse, kuidas arengukava ellu viiakse, kuidas hinnatakse tegevuste tulemuslikkust ning kuidas strateegiat täi</w:t>
      </w:r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endatakse. Kelle kanda jääb arengukava täiendamine ja kuidas seda tehakse (nt mittetulundusühenduse juhatuse või üldkoosoleku otsusega), kui tihti toimub arengukava ja selle tegevuskava </w:t>
      </w:r>
      <w:proofErr w:type="spellStart"/>
      <w:r w:rsidRPr="006E0966">
        <w:rPr>
          <w:rFonts w:ascii="Times New Roman" w:eastAsia="Verdana" w:hAnsi="Times New Roman" w:cs="Times New Roman"/>
          <w:sz w:val="24"/>
          <w:szCs w:val="24"/>
        </w:rPr>
        <w:t>ülevaatamine</w:t>
      </w:r>
      <w:proofErr w:type="spellEnd"/>
      <w:r w:rsidRPr="006E0966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sectPr w:rsidR="00C747CF" w:rsidRPr="006E0966" w:rsidSect="006E0966">
      <w:headerReference w:type="default" r:id="rId9"/>
      <w:footerReference w:type="default" r:id="rId10"/>
      <w:pgSz w:w="12240" w:h="15840"/>
      <w:pgMar w:top="1417" w:right="1417" w:bottom="1417" w:left="1417" w:header="142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67" w:rsidRDefault="00722B67">
      <w:pPr>
        <w:spacing w:line="240" w:lineRule="auto"/>
      </w:pPr>
      <w:r>
        <w:separator/>
      </w:r>
    </w:p>
  </w:endnote>
  <w:endnote w:type="continuationSeparator" w:id="0">
    <w:p w:rsidR="00722B67" w:rsidRDefault="00722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CF" w:rsidRDefault="00034893" w:rsidP="00034893">
    <w:pPr>
      <w:jc w:val="center"/>
    </w:pPr>
    <w:r>
      <w:rPr>
        <w:noProof/>
      </w:rPr>
      <w:drawing>
        <wp:inline distT="0" distB="0" distL="0" distR="0" wp14:anchorId="328E1C86" wp14:editId="10E91414">
          <wp:extent cx="2943225" cy="304800"/>
          <wp:effectExtent l="0" t="0" r="9525" b="0"/>
          <wp:docPr id="6" name="Picture 6" descr="C:\Users\Marek Kuusk\AppData\Local\Microsoft\Windows\INetCache\Content.Word\makis logo_alternati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ek Kuusk\AppData\Local\Microsoft\Windows\INetCache\Content.Word\makis logo_alternati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67" w:rsidRDefault="00722B67">
      <w:pPr>
        <w:spacing w:line="240" w:lineRule="auto"/>
      </w:pPr>
      <w:r>
        <w:separator/>
      </w:r>
    </w:p>
  </w:footnote>
  <w:footnote w:type="continuationSeparator" w:id="0">
    <w:p w:rsidR="00722B67" w:rsidRDefault="00722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93" w:rsidRDefault="00034893" w:rsidP="00034893">
    <w:pPr>
      <w:pStyle w:val="Header"/>
      <w:jc w:val="right"/>
      <w:rPr>
        <w:rFonts w:ascii="Times New Roman" w:hAnsi="Times New Roman" w:cs="Times New Roman"/>
        <w:color w:val="AEAAAA"/>
        <w:szCs w:val="24"/>
      </w:rPr>
    </w:pPr>
  </w:p>
  <w:p w:rsidR="00034893" w:rsidRPr="00EC305C" w:rsidRDefault="00034893" w:rsidP="00034893">
    <w:pPr>
      <w:pStyle w:val="Header"/>
      <w:jc w:val="right"/>
      <w:rPr>
        <w:rFonts w:ascii="Times New Roman" w:hAnsi="Times New Roman"/>
        <w:color w:val="AEAAAA"/>
        <w:szCs w:val="24"/>
      </w:rPr>
    </w:pPr>
    <w:r w:rsidRPr="00EC305C">
      <w:rPr>
        <w:rFonts w:ascii="Times New Roman" w:hAnsi="Times New Roman" w:cs="Times New Roman"/>
        <w:color w:val="AEAAAA"/>
        <w:szCs w:val="24"/>
      </w:rPr>
      <w:t xml:space="preserve">See näidismaterjal on alla laetud vabaühenduste nõustamisportaalist MAKIS </w:t>
    </w:r>
    <w:hyperlink r:id="rId1" w:history="1">
      <w:r w:rsidRPr="0042681D">
        <w:rPr>
          <w:rStyle w:val="Hyperlink"/>
          <w:rFonts w:ascii="Times New Roman" w:hAnsi="Times New Roman" w:cs="Times New Roman"/>
          <w:szCs w:val="24"/>
        </w:rPr>
        <w:t>www.makis.ee</w:t>
      </w:r>
    </w:hyperlink>
    <w:r>
      <w:rPr>
        <w:rFonts w:ascii="Times New Roman" w:hAnsi="Times New Roman"/>
        <w:szCs w:val="24"/>
      </w:rPr>
      <w:br/>
    </w:r>
    <w:r w:rsidRPr="00EC305C">
      <w:rPr>
        <w:rFonts w:ascii="Times New Roman" w:hAnsi="Times New Roman" w:cs="Times New Roman"/>
        <w:color w:val="AEAAAA"/>
        <w:szCs w:val="24"/>
      </w:rPr>
      <w:t>Näidist on viimati värskendatud 18. aprillil 2017</w:t>
    </w:r>
  </w:p>
  <w:p w:rsidR="00C747CF" w:rsidRDefault="00C747CF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AA2"/>
    <w:multiLevelType w:val="multilevel"/>
    <w:tmpl w:val="1D64D2C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94A5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BDA5D86"/>
    <w:multiLevelType w:val="multilevel"/>
    <w:tmpl w:val="5A7A5BB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94A5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4913B0C"/>
    <w:multiLevelType w:val="multilevel"/>
    <w:tmpl w:val="FEE89E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E7F6784"/>
    <w:multiLevelType w:val="multilevel"/>
    <w:tmpl w:val="0254C4A2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94A5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47CF"/>
    <w:rsid w:val="00034893"/>
    <w:rsid w:val="006E0966"/>
    <w:rsid w:val="00722B67"/>
    <w:rsid w:val="00C7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5661D-0C59-4A4D-9A57-0E3066B2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3489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93"/>
  </w:style>
  <w:style w:type="paragraph" w:styleId="Footer">
    <w:name w:val="footer"/>
    <w:basedOn w:val="Normal"/>
    <w:link w:val="FooterChar"/>
    <w:uiPriority w:val="99"/>
    <w:unhideWhenUsed/>
    <w:rsid w:val="0003489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93"/>
  </w:style>
  <w:style w:type="character" w:styleId="Hyperlink">
    <w:name w:val="Hyperlink"/>
    <w:basedOn w:val="DefaultParagraphFont"/>
    <w:uiPriority w:val="99"/>
    <w:unhideWhenUsed/>
    <w:rsid w:val="00034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1669</Words>
  <Characters>9681</Characters>
  <Application>Microsoft Office Word</Application>
  <DocSecurity>0</DocSecurity>
  <Lines>80</Lines>
  <Paragraphs>22</Paragraphs>
  <ScaleCrop>false</ScaleCrop>
  <Company/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 Vaikre</cp:lastModifiedBy>
  <cp:revision>3</cp:revision>
  <dcterms:created xsi:type="dcterms:W3CDTF">2017-04-18T09:14:00Z</dcterms:created>
  <dcterms:modified xsi:type="dcterms:W3CDTF">2017-04-18T09:18:00Z</dcterms:modified>
</cp:coreProperties>
</file>